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</w:rPr>
      </w:pPr>
      <w:r>
        <w:rPr/>
        <w:drawing>
          <wp:inline distT="0" distB="7620" distL="0" distR="381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  <w:t>Žádost o přístup k osobním údajům</w:t>
      </w:r>
      <w:r>
        <w:rPr>
          <w:rStyle w:val="Ukotvenpoznmkypodarou"/>
          <w:rFonts w:cs="Arial" w:ascii="Arial" w:hAnsi="Arial"/>
          <w:b/>
          <w:caps/>
          <w:sz w:val="36"/>
          <w:szCs w:val="36"/>
        </w:rPr>
        <w:footnoteReference w:id="2"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bookmarkStart w:id="0" w:name="_GoBack"/>
      <w:bookmarkStart w:id="1" w:name="_GoBack"/>
      <w:bookmarkEnd w:id="1"/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souladu s čl. 15 Nařízení EU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 xml:space="preserve">  žádám tímto o přístup ke všem svým osobním údajům zpracovávaným Knihovnou města Hradce Králové, se sídlem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Osobní údaje žadatele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Jméno a příjmení: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Datum narození: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Email</w:t>
      </w:r>
      <w:r>
        <w:rPr>
          <w:rStyle w:val="Ukotvenpoznmkypodarou"/>
          <w:rFonts w:cs="Arial" w:ascii="Arial" w:hAnsi="Arial"/>
          <w:sz w:val="20"/>
          <w:szCs w:val="20"/>
        </w:rPr>
        <w:footnoteReference w:id="5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Kontaktní adresa: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Vyrozumění o vyřízení mé žádosti a kopii osobních údajů žádám zaslat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6"/>
      </w:r>
      <w:r>
        <w:rPr>
          <w:rFonts w:cs="Arial" w:ascii="Arial" w:hAnsi="Arial"/>
          <w:b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Elektronicky na můj email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Písemně na moji kontaktní adresu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Datum:</w:t>
        <w:tab/>
        <w:t xml:space="preserve">                                                                          Podpis žadatele: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POUČENÍ: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Tuto žádost je možno </w:t>
      </w:r>
      <w:r>
        <w:rPr>
          <w:rFonts w:cs="Arial" w:ascii="Arial" w:hAnsi="Arial"/>
          <w:b/>
          <w:sz w:val="20"/>
          <w:szCs w:val="20"/>
        </w:rPr>
        <w:t>podat zejména:</w:t>
        <w:tab/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písemně na adresu</w:t>
      </w:r>
      <w:r>
        <w:rPr>
          <w:rFonts w:cs="Arial" w:ascii="Arial" w:hAnsi="Arial"/>
          <w:sz w:val="20"/>
          <w:szCs w:val="20"/>
        </w:rPr>
        <w:t xml:space="preserve">: Knihovna města Hradce Králové,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osobně v Knihovně ve výpůjčním oddělení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elektronicky </w:t>
      </w:r>
      <w:r>
        <w:rPr>
          <w:rFonts w:cs="Arial" w:ascii="Arial" w:hAnsi="Arial"/>
          <w:b/>
          <w:sz w:val="20"/>
          <w:szCs w:val="20"/>
        </w:rPr>
        <w:t>do datové schránky č. isrkkz5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elektronicky na email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ovodkaz"/>
            <w:rFonts w:cs="Arial" w:ascii="Arial" w:hAnsi="Arial"/>
            <w:sz w:val="20"/>
            <w:szCs w:val="20"/>
          </w:rPr>
          <w:t>gdpr@knihovnahk.cz</w:t>
        </w:r>
      </w:hyperlink>
      <w:r>
        <w:rPr>
          <w:rFonts w:cs="Arial" w:ascii="Arial" w:hAnsi="Arial"/>
          <w:sz w:val="20"/>
          <w:szCs w:val="20"/>
        </w:rPr>
        <w:t xml:space="preserve"> podepsaný zaručeným elektronickým podpisem žadatele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Knihovna je povinna dle čl. 12 odst. 3 Nařízení EU vás bezplatně informovat o přijatých opatřeních bez zbytečného odkladu a v každém případě do jednoho měsíce od obdržení žádosti. Tuto lhůtu je možné v případě potřeby a s ohledem na složitost a počet žádostí prodloužit o další dva měsíce. Knihovna vás informuje o jakémkoli takovém prodloužení do jednoho měsíce od obdržení žádosti spolu s důvody pro tento odklad.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4 Nařízení EU pokud by Knihovna nevyhověla vaší žádosti, bude vás informovat bezodkladně (nejpozději do jednoho měsíce) o důvodech nevyhovění a o možnosti podat stížnost</w:t>
        <w:br/>
        <w:t>u dozorového řadu (Úřad pro ochranu osobních údajů, Pplk. Sochora 27, 170 00 Praha 7) a žádat</w:t>
        <w:br/>
        <w:t xml:space="preserve">o soudní ochranu.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5 Nařízení EU není Knihovna povinna zcela nebo zčásti vyhovět vaší žádosti v případě, bude-li žádost zjevně nedůvodná nebo nepřiměřená, zejména protože se opakuje.</w:t>
        <w:br/>
        <w:t>V takových případech Knihovna může: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uložit přiměřený poplatek zohledňující administrativní náklady nebo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odmítnout žádosti vyhovět.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6 Nařízení EU má-li Knihovna důvodné pochybnosti o totožnosti odesílatele žádosti, může vás požádat o poskytnutí dodatečných informací nezbytných k potvrzení vaší totožnosti.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42714279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Spacing"/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hyperlink r:id="rId1">
        <w:r>
          <w:rPr>
            <w:rStyle w:val="Internetovodkaz"/>
            <w:rFonts w:ascii="Calibri Light" w:hAnsi="Calibri Light" w:asciiTheme="majorHAnsi" w:hAnsiTheme="majorHAnsi"/>
            <w:color w:val="00000A"/>
            <w:sz w:val="20"/>
            <w:szCs w:val="20"/>
            <w:u w:val="none"/>
          </w:rPr>
          <w:t>Přístupem k osobním údajům</w:t>
        </w:r>
      </w:hyperlink>
      <w:r>
        <w:rPr>
          <w:rFonts w:ascii="Calibri Light" w:hAnsi="Calibri Light" w:asciiTheme="majorHAnsi" w:hAnsiTheme="majorHAnsi"/>
          <w:sz w:val="20"/>
          <w:szCs w:val="20"/>
        </w:rPr>
        <w:t xml:space="preserve"> se rozumí oprávnění subjektu údajů na základě jeho aktivní žádosti získat od správce informaci (potvrzení), zda jsou či nejsou jeho osobní údaje zpracovávány a pokud jsou zpracovávány, má subjekt údajů právo tyto osobní údaje získat a zároveň má právo získat následující informace: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účely zpracování,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kategorie dotčených osobních údajů,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příjemci nebo kategorie příjemců, kterým osobní údaje byly nebo budou zpřístupněny,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plánovaná doba, po kterou budou osobní údaje uloženy,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existence práva požadovat od správce opravu nebo výmaz osobních údajů, právo vznést námitku,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právo podat stížnost u dozorového úřadu,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veškeré dostupné informace o zdroji osobních údajů, pokud nejsou získány od subjektu údajů,</w:t>
      </w:r>
    </w:p>
    <w:p>
      <w:pPr>
        <w:pStyle w:val="NoSpacing"/>
        <w:numPr>
          <w:ilvl w:val="0"/>
          <w:numId w:val="3"/>
        </w:numPr>
        <w:jc w:val="both"/>
        <w:rPr>
          <w:rFonts w:ascii="Calibri Light" w:hAnsi="Calibri Light" w:asciiTheme="majorHAnsi" w:hAnsiTheme="majorHAnsi"/>
          <w:sz w:val="20"/>
          <w:szCs w:val="20"/>
        </w:rPr>
      </w:pPr>
      <w:r>
        <w:rPr>
          <w:rFonts w:ascii="Calibri Light" w:hAnsi="Calibri Light" w:asciiTheme="majorHAnsi" w:hAnsiTheme="majorHAnsi"/>
          <w:sz w:val="20"/>
          <w:szCs w:val="20"/>
        </w:rPr>
        <w:tab/>
        <w:t>skutečnost, že dochází k automatizovanému rozhodování, včetně profilování.</w:t>
      </w:r>
    </w:p>
    <w:p>
      <w:pPr>
        <w:pStyle w:val="NoSpacing"/>
        <w:jc w:val="both"/>
        <w:rPr/>
      </w:pPr>
      <w:r>
        <w:rPr>
          <w:rFonts w:ascii="Calibri Light" w:hAnsi="Calibri Light" w:asciiTheme="majorHAnsi" w:hAnsiTheme="majorHAnsi"/>
          <w:sz w:val="20"/>
          <w:szCs w:val="20"/>
        </w:rPr>
        <w:tab/>
        <w:t>Pokud správce o fyzické osobě žádné údaje nezpracovává, poskytuje se informace, že osobní údaje tazatele nejsou předmětem zpracování osobních údajů ze strany správce.</w:t>
      </w:r>
    </w:p>
  </w:footnote>
  <w:footnote w:id="3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EU“).</w:t>
      </w:r>
    </w:p>
  </w:footnote>
  <w:footnote w:id="4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 xml:space="preserve">Uvedení těchto údajů slouží k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identifikaci žadatele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vyhledání údaj</w:t>
      </w:r>
      <w:r>
        <w:rPr>
          <w:rFonts w:cs="Arial" w:ascii="Calibri Light" w:hAnsi="Calibri Light" w:asciiTheme="majorHAnsi" w:hAnsiTheme="majorHAnsi"/>
          <w:sz w:val="20"/>
          <w:szCs w:val="20"/>
        </w:rPr>
        <w:t xml:space="preserve">ů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zpracovávaných správcem a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zaslání odpov</w:t>
      </w:r>
      <w:r>
        <w:rPr>
          <w:rFonts w:cs="Arial" w:ascii="Calibri Light" w:hAnsi="Calibri Light" w:asciiTheme="majorHAnsi" w:hAnsiTheme="majorHAnsi"/>
          <w:sz w:val="20"/>
          <w:szCs w:val="20"/>
        </w:rPr>
        <w:t>ě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di. Tyto údaje nebudou zpracovány k jinému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elu než k výše uvedenému.</w:t>
      </w:r>
    </w:p>
  </w:footnote>
  <w:footnote w:id="5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Uveďte jen tehdy, pokud chcete zaslat vyrozumění e-mailem.</w:t>
      </w:r>
    </w:p>
  </w:footnote>
  <w:footnote w:id="6">
    <w:p>
      <w:pPr>
        <w:pStyle w:val="Footnotetext"/>
        <w:jc w:val="both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>Vybranou variantu označte křížkem.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(%1)"/>
      <w:lvlJc w:val="left"/>
      <w:pPr>
        <w:ind w:left="1278" w:hanging="720"/>
      </w:pPr>
    </w:lvl>
    <w:lvl w:ilvl="1">
      <w:start w:val="1"/>
      <w:numFmt w:val="lowerLetter"/>
      <w:lvlText w:val="%2."/>
      <w:lvlJc w:val="left"/>
      <w:pPr>
        <w:ind w:left="1638" w:hanging="360"/>
      </w:pPr>
    </w:lvl>
    <w:lvl w:ilvl="2">
      <w:start w:val="1"/>
      <w:numFmt w:val="lowerRoman"/>
      <w:lvlText w:val="%3."/>
      <w:lvlJc w:val="right"/>
      <w:pPr>
        <w:ind w:left="2358" w:hanging="180"/>
      </w:pPr>
    </w:lvl>
    <w:lvl w:ilvl="3">
      <w:start w:val="1"/>
      <w:numFmt w:val="decimal"/>
      <w:lvlText w:val="%4."/>
      <w:lvlJc w:val="left"/>
      <w:pPr>
        <w:ind w:left="3078" w:hanging="360"/>
      </w:pPr>
    </w:lvl>
    <w:lvl w:ilvl="4">
      <w:start w:val="1"/>
      <w:numFmt w:val="lowerLetter"/>
      <w:lvlText w:val="%5."/>
      <w:lvlJc w:val="left"/>
      <w:pPr>
        <w:ind w:left="3798" w:hanging="360"/>
      </w:pPr>
    </w:lvl>
    <w:lvl w:ilvl="5">
      <w:start w:val="1"/>
      <w:numFmt w:val="lowerRoman"/>
      <w:lvlText w:val="%6."/>
      <w:lvlJc w:val="right"/>
      <w:pPr>
        <w:ind w:left="4518" w:hanging="180"/>
      </w:pPr>
    </w:lvl>
    <w:lvl w:ilvl="6">
      <w:start w:val="1"/>
      <w:numFmt w:val="decimal"/>
      <w:lvlText w:val="%7."/>
      <w:lvlJc w:val="left"/>
      <w:pPr>
        <w:ind w:left="5238" w:hanging="360"/>
      </w:pPr>
    </w:lvl>
    <w:lvl w:ilvl="7">
      <w:start w:val="1"/>
      <w:numFmt w:val="lowerLetter"/>
      <w:lvlText w:val="%8."/>
      <w:lvlJc w:val="left"/>
      <w:pPr>
        <w:ind w:left="5958" w:hanging="360"/>
      </w:pPr>
    </w:lvl>
    <w:lvl w:ilvl="8">
      <w:start w:val="1"/>
      <w:numFmt w:val="lowerRoman"/>
      <w:lvlText w:val="%9."/>
      <w:lvlJc w:val="right"/>
      <w:pPr>
        <w:ind w:left="6678" w:hanging="180"/>
      </w:p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571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71cd1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a17b5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17b5d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357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4357f"/>
    <w:rPr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4357f"/>
    <w:rPr>
      <w:rFonts w:ascii="Segoe UI" w:hAnsi="Segoe UI" w:cs="Segoe UI"/>
      <w:sz w:val="18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03b2e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da5e76"/>
    <w:rPr/>
  </w:style>
  <w:style w:type="character" w:styleId="ZpatChar" w:customStyle="1">
    <w:name w:val="Zápatí Char"/>
    <w:basedOn w:val="DefaultParagraphFont"/>
    <w:link w:val="Zpat"/>
    <w:uiPriority w:val="99"/>
    <w:qFormat/>
    <w:rsid w:val="00da5e76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edformtovantext" w:customStyle="1">
    <w:name w:val="Předformátovaný text"/>
    <w:basedOn w:val="Normal"/>
    <w:qFormat/>
    <w:rsid w:val="00571cd1"/>
    <w:pPr>
      <w:widowControl w:val="false"/>
      <w:suppressAutoHyphens w:val="true"/>
      <w:spacing w:lineRule="auto" w:line="240" w:before="0" w:after="0"/>
    </w:pPr>
    <w:rPr>
      <w:rFonts w:ascii="Liberation Mono" w:hAnsi="Liberation Mono" w:eastAsia="AR PL SungtiL GB" w:cs="Liberation Mono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571cd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cd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4357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43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03b2e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860b1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860b1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Zhlav">
    <w:name w:val="Header"/>
    <w:basedOn w:val="Normal"/>
    <w:link w:val="ZhlavChar"/>
    <w:uiPriority w:val="99"/>
    <w:unhideWhenUsed/>
    <w:rsid w:val="00da5e7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da5e7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dpr@knihovnahk.cz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privacy-regulation.eu/cs/15.htm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2DD3-13D6-488E-B7AB-FF8C2C7C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LibreOffice/5.3.6.1$Linux_X86_64 LibreOffice_project/30$Build-1</Application>
  <Pages>2</Pages>
  <Words>546</Words>
  <Characters>3110</Characters>
  <CharactersWithSpaces>3681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2018-04-19T07:13:00Z</dcterms:created>
  <dc:creator>user</dc:creator>
  <dc:description/>
  <dc:language>cs-CZ</dc:language>
  <cp:lastModifiedBy/>
  <dcterms:modified xsi:type="dcterms:W3CDTF">2018-05-28T12:51:26Z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